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35" w:rsidRDefault="00844235" w:rsidP="00844235">
      <w:pPr>
        <w:pStyle w:val="Title"/>
        <w:jc w:val="left"/>
        <w:rPr>
          <w:rFonts w:ascii="Arial" w:hAnsi="Arial" w:cs="Arial"/>
          <w:b w:val="0"/>
          <w:bCs w:val="0"/>
          <w:sz w:val="16"/>
        </w:rPr>
      </w:pPr>
      <w:r>
        <w:rPr>
          <w:rFonts w:ascii="Arial" w:hAnsi="Arial" w:cs="Arial"/>
          <w:b w:val="0"/>
          <w:noProof/>
          <w:sz w:val="16"/>
        </w:rPr>
        <w:drawing>
          <wp:inline distT="0" distB="0" distL="0" distR="0">
            <wp:extent cx="876300" cy="7239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6300" cy="723900"/>
                    </a:xfrm>
                    <a:prstGeom prst="rect">
                      <a:avLst/>
                    </a:prstGeom>
                    <a:noFill/>
                    <a:ln w="9525">
                      <a:noFill/>
                      <a:miter lim="800000"/>
                      <a:headEnd/>
                      <a:tailEnd/>
                    </a:ln>
                  </pic:spPr>
                </pic:pic>
              </a:graphicData>
            </a:graphic>
          </wp:inline>
        </w:drawing>
      </w:r>
      <w:r w:rsidR="00100D3C">
        <w:rPr>
          <w:rFonts w:ascii="Arial" w:hAnsi="Arial" w:cs="Arial"/>
          <w:b w:val="0"/>
          <w:bCs w:val="0"/>
          <w:sz w:val="16"/>
        </w:rPr>
        <w:t xml:space="preserve">   </w:t>
      </w:r>
      <w:r>
        <w:rPr>
          <w:rFonts w:ascii="Arial" w:hAnsi="Arial" w:cs="Arial"/>
          <w:b w:val="0"/>
          <w:noProof/>
          <w:sz w:val="16"/>
        </w:rPr>
        <w:drawing>
          <wp:inline distT="0" distB="0" distL="0" distR="0">
            <wp:extent cx="800100" cy="6762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r w:rsidR="00100D3C">
        <w:rPr>
          <w:rFonts w:ascii="Arial" w:hAnsi="Arial" w:cs="Arial"/>
          <w:b w:val="0"/>
          <w:bCs w:val="0"/>
          <w:sz w:val="16"/>
        </w:rPr>
        <w:t xml:space="preserve">   </w:t>
      </w:r>
      <w:r>
        <w:rPr>
          <w:rFonts w:ascii="Arial" w:hAnsi="Arial" w:cs="Arial"/>
          <w:b w:val="0"/>
          <w:noProof/>
          <w:sz w:val="16"/>
        </w:rPr>
        <w:drawing>
          <wp:inline distT="0" distB="0" distL="0" distR="0">
            <wp:extent cx="1114425" cy="62865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14425" cy="628650"/>
                    </a:xfrm>
                    <a:prstGeom prst="rect">
                      <a:avLst/>
                    </a:prstGeom>
                    <a:noFill/>
                    <a:ln w="9525">
                      <a:noFill/>
                      <a:miter lim="800000"/>
                      <a:headEnd/>
                      <a:tailEnd/>
                    </a:ln>
                  </pic:spPr>
                </pic:pic>
              </a:graphicData>
            </a:graphic>
          </wp:inline>
        </w:drawing>
      </w:r>
      <w:r>
        <w:rPr>
          <w:rFonts w:ascii="Arial" w:hAnsi="Arial" w:cs="Arial"/>
          <w:b w:val="0"/>
          <w:noProof/>
          <w:sz w:val="16"/>
        </w:rPr>
        <w:drawing>
          <wp:inline distT="0" distB="0" distL="0" distR="0">
            <wp:extent cx="1543050" cy="40957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43050" cy="409575"/>
                    </a:xfrm>
                    <a:prstGeom prst="rect">
                      <a:avLst/>
                    </a:prstGeom>
                    <a:noFill/>
                    <a:ln w="9525">
                      <a:noFill/>
                      <a:miter lim="800000"/>
                      <a:headEnd/>
                      <a:tailEnd/>
                    </a:ln>
                  </pic:spPr>
                </pic:pic>
              </a:graphicData>
            </a:graphic>
          </wp:inline>
        </w:drawing>
      </w:r>
      <w:r>
        <w:rPr>
          <w:rFonts w:ascii="Arial" w:hAnsi="Arial" w:cs="Arial"/>
          <w:b w:val="0"/>
          <w:noProof/>
          <w:sz w:val="16"/>
        </w:rPr>
        <w:drawing>
          <wp:inline distT="0" distB="0" distL="0" distR="0">
            <wp:extent cx="809625" cy="723900"/>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00100D3C">
        <w:rPr>
          <w:rFonts w:ascii="Arial" w:hAnsi="Arial" w:cs="Arial"/>
          <w:b w:val="0"/>
          <w:bCs w:val="0"/>
          <w:sz w:val="16"/>
        </w:rPr>
        <w:t xml:space="preserve">      </w:t>
      </w:r>
      <w:r>
        <w:rPr>
          <w:rFonts w:ascii="Arial" w:hAnsi="Arial" w:cs="Arial"/>
          <w:b w:val="0"/>
          <w:noProof/>
          <w:sz w:val="16"/>
        </w:rPr>
        <w:drawing>
          <wp:inline distT="0" distB="0" distL="0" distR="0">
            <wp:extent cx="581025" cy="619125"/>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r w:rsidR="00100D3C">
        <w:rPr>
          <w:rFonts w:ascii="Arial" w:hAnsi="Arial" w:cs="Arial"/>
          <w:b w:val="0"/>
          <w:bCs w:val="0"/>
          <w:sz w:val="16"/>
        </w:rPr>
        <w:t xml:space="preserve">     </w:t>
      </w:r>
      <w:r>
        <w:rPr>
          <w:rFonts w:ascii="Arial" w:hAnsi="Arial" w:cs="Arial"/>
          <w:b w:val="0"/>
          <w:noProof/>
          <w:sz w:val="16"/>
        </w:rPr>
        <w:drawing>
          <wp:inline distT="0" distB="0" distL="0" distR="0">
            <wp:extent cx="847725" cy="352425"/>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47725" cy="352425"/>
                    </a:xfrm>
                    <a:prstGeom prst="rect">
                      <a:avLst/>
                    </a:prstGeom>
                    <a:noFill/>
                    <a:ln w="9525">
                      <a:noFill/>
                      <a:miter lim="800000"/>
                      <a:headEnd/>
                      <a:tailEnd/>
                    </a:ln>
                  </pic:spPr>
                </pic:pic>
              </a:graphicData>
            </a:graphic>
          </wp:inline>
        </w:drawing>
      </w:r>
    </w:p>
    <w:p w:rsidR="00694816" w:rsidRDefault="00100D3C">
      <w:pPr>
        <w:pStyle w:val="BodyText"/>
        <w:kinsoku w:val="0"/>
        <w:overflowPunct w:val="0"/>
        <w:ind w:left="116"/>
        <w:rPr>
          <w:rFonts w:ascii="Times New Roman" w:hAnsi="Times New Roman" w:cs="Times New Roman"/>
          <w:sz w:val="20"/>
          <w:szCs w:val="20"/>
        </w:rPr>
      </w:pPr>
      <w:r>
        <w:rPr>
          <w:rFonts w:ascii="Times New Roman" w:hAnsi="Times New Roman" w:cs="Times New Roman"/>
          <w:sz w:val="20"/>
          <w:szCs w:val="20"/>
        </w:rPr>
        <w:t xml:space="preserve">  </w:t>
      </w:r>
    </w:p>
    <w:p w:rsidR="00694816" w:rsidRDefault="00694816">
      <w:pPr>
        <w:pStyle w:val="BodyText"/>
        <w:kinsoku w:val="0"/>
        <w:overflowPunct w:val="0"/>
        <w:spacing w:before="4"/>
        <w:ind w:left="0"/>
        <w:rPr>
          <w:rFonts w:ascii="Times New Roman" w:hAnsi="Times New Roman" w:cs="Times New Roman"/>
          <w:sz w:val="16"/>
          <w:szCs w:val="16"/>
        </w:rPr>
      </w:pPr>
    </w:p>
    <w:p w:rsidR="00694816" w:rsidRPr="00844235" w:rsidRDefault="004657B5">
      <w:pPr>
        <w:pStyle w:val="BodyText"/>
        <w:kinsoku w:val="0"/>
        <w:overflowPunct w:val="0"/>
        <w:ind w:left="116"/>
        <w:rPr>
          <w:color w:val="1F487C"/>
          <w:sz w:val="16"/>
          <w:szCs w:val="16"/>
        </w:rPr>
      </w:pPr>
      <w:r w:rsidRPr="00844235">
        <w:rPr>
          <w:b/>
          <w:color w:val="1F487C"/>
          <w:sz w:val="16"/>
          <w:szCs w:val="16"/>
        </w:rPr>
        <w:t>FOR IMMEDIATE RELEASE</w:t>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r>
      <w:r w:rsidR="00844235">
        <w:rPr>
          <w:b/>
          <w:color w:val="1F487C"/>
          <w:sz w:val="16"/>
          <w:szCs w:val="16"/>
        </w:rPr>
        <w:tab/>
        <w:t xml:space="preserve">        </w:t>
      </w:r>
      <w:r w:rsidR="008E5BBA">
        <w:rPr>
          <w:b/>
          <w:color w:val="1F487C"/>
          <w:sz w:val="16"/>
          <w:szCs w:val="16"/>
        </w:rPr>
        <w:t xml:space="preserve">         </w:t>
      </w:r>
      <w:r w:rsidR="00844235">
        <w:rPr>
          <w:b/>
          <w:color w:val="1F487C"/>
          <w:sz w:val="16"/>
          <w:szCs w:val="16"/>
        </w:rPr>
        <w:t xml:space="preserve"> </w:t>
      </w:r>
      <w:r w:rsidR="00844235" w:rsidRPr="00844235">
        <w:rPr>
          <w:color w:val="1F487C"/>
          <w:sz w:val="16"/>
          <w:szCs w:val="16"/>
        </w:rPr>
        <w:t>222 Maiden Lane</w:t>
      </w:r>
    </w:p>
    <w:p w:rsidR="00694816" w:rsidRPr="00844235" w:rsidRDefault="00844235">
      <w:pPr>
        <w:pStyle w:val="BodyText"/>
        <w:kinsoku w:val="0"/>
        <w:overflowPunct w:val="0"/>
        <w:spacing w:before="1" w:line="183" w:lineRule="exact"/>
        <w:ind w:left="116"/>
        <w:rPr>
          <w:color w:val="1F487C"/>
          <w:sz w:val="16"/>
          <w:szCs w:val="16"/>
        </w:rPr>
      </w:pPr>
      <w:r>
        <w:rPr>
          <w:color w:val="1F487C"/>
          <w:sz w:val="16"/>
          <w:szCs w:val="16"/>
        </w:rPr>
        <w:t>July 20, 2020</w:t>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r>
      <w:r>
        <w:rPr>
          <w:color w:val="1F487C"/>
          <w:sz w:val="16"/>
          <w:szCs w:val="16"/>
        </w:rPr>
        <w:tab/>
        <w:t xml:space="preserve">       </w:t>
      </w:r>
      <w:r>
        <w:rPr>
          <w:color w:val="1F487C"/>
          <w:sz w:val="16"/>
          <w:szCs w:val="16"/>
        </w:rPr>
        <w:tab/>
      </w:r>
      <w:r w:rsidR="008E5BBA">
        <w:rPr>
          <w:color w:val="1F487C"/>
          <w:sz w:val="16"/>
          <w:szCs w:val="16"/>
        </w:rPr>
        <w:t xml:space="preserve">        </w:t>
      </w:r>
      <w:r>
        <w:rPr>
          <w:color w:val="1F487C"/>
          <w:sz w:val="16"/>
          <w:szCs w:val="16"/>
        </w:rPr>
        <w:t>Fayetteville, NC  28301</w:t>
      </w:r>
    </w:p>
    <w:p w:rsidR="00844235" w:rsidRDefault="004657B5">
      <w:pPr>
        <w:pStyle w:val="BodyText"/>
        <w:kinsoku w:val="0"/>
        <w:overflowPunct w:val="0"/>
        <w:ind w:left="116" w:right="24"/>
        <w:rPr>
          <w:color w:val="1F487C"/>
          <w:sz w:val="16"/>
          <w:szCs w:val="16"/>
        </w:rPr>
      </w:pPr>
      <w:r>
        <w:rPr>
          <w:b/>
          <w:bCs/>
          <w:color w:val="1F487C"/>
          <w:sz w:val="16"/>
          <w:szCs w:val="16"/>
        </w:rPr>
        <w:t xml:space="preserve">CONTACT: </w:t>
      </w:r>
      <w:r>
        <w:rPr>
          <w:color w:val="1F487C"/>
          <w:sz w:val="16"/>
          <w:szCs w:val="16"/>
        </w:rPr>
        <w:t xml:space="preserve">Crystal Moore-Williams, Community Impact Director </w:t>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t xml:space="preserve">            </w:t>
      </w:r>
      <w:r w:rsidR="00844235">
        <w:rPr>
          <w:color w:val="1F487C"/>
          <w:sz w:val="16"/>
          <w:szCs w:val="16"/>
        </w:rPr>
        <w:tab/>
        <w:t xml:space="preserve">       </w:t>
      </w:r>
      <w:r w:rsidR="008E5BBA">
        <w:rPr>
          <w:color w:val="1F487C"/>
          <w:sz w:val="16"/>
          <w:szCs w:val="16"/>
        </w:rPr>
        <w:t xml:space="preserve">        </w:t>
      </w:r>
      <w:r w:rsidR="00844235">
        <w:rPr>
          <w:color w:val="1F487C"/>
          <w:sz w:val="16"/>
          <w:szCs w:val="16"/>
        </w:rPr>
        <w:t>Tel:  910.483.1179</w:t>
      </w:r>
    </w:p>
    <w:p w:rsidR="00694816" w:rsidRDefault="004657B5">
      <w:pPr>
        <w:pStyle w:val="BodyText"/>
        <w:kinsoku w:val="0"/>
        <w:overflowPunct w:val="0"/>
        <w:ind w:left="116" w:right="24"/>
        <w:rPr>
          <w:color w:val="1F487C"/>
          <w:sz w:val="16"/>
          <w:szCs w:val="16"/>
        </w:rPr>
      </w:pPr>
      <w:r>
        <w:rPr>
          <w:color w:val="1F487C"/>
          <w:sz w:val="16"/>
          <w:szCs w:val="16"/>
        </w:rPr>
        <w:t>910.483.1179 ext. 229</w:t>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r>
      <w:r w:rsidR="00844235">
        <w:rPr>
          <w:color w:val="1F487C"/>
          <w:sz w:val="16"/>
          <w:szCs w:val="16"/>
        </w:rPr>
        <w:tab/>
        <w:t xml:space="preserve">    </w:t>
      </w:r>
      <w:r w:rsidR="008E5BBA">
        <w:rPr>
          <w:color w:val="1F487C"/>
          <w:sz w:val="16"/>
          <w:szCs w:val="16"/>
        </w:rPr>
        <w:t xml:space="preserve">        </w:t>
      </w:r>
      <w:r w:rsidR="00844235">
        <w:rPr>
          <w:color w:val="1F487C"/>
          <w:sz w:val="16"/>
          <w:szCs w:val="16"/>
        </w:rPr>
        <w:t xml:space="preserve"> Fax:  910-483-5913 </w:t>
      </w:r>
    </w:p>
    <w:p w:rsidR="00694816" w:rsidRDefault="00FD0016">
      <w:pPr>
        <w:pStyle w:val="BodyText"/>
        <w:kinsoku w:val="0"/>
        <w:overflowPunct w:val="0"/>
        <w:spacing w:before="1"/>
        <w:ind w:left="116"/>
        <w:rPr>
          <w:color w:val="0000FF"/>
          <w:sz w:val="16"/>
          <w:szCs w:val="16"/>
        </w:rPr>
      </w:pPr>
      <w:hyperlink r:id="rId11" w:history="1">
        <w:r w:rsidR="004657B5">
          <w:rPr>
            <w:color w:val="0000FF"/>
            <w:sz w:val="16"/>
            <w:szCs w:val="16"/>
            <w:u w:val="single"/>
          </w:rPr>
          <w:t>crystalmmcnair@unitedway-cc.org</w:t>
        </w:r>
      </w:hyperlink>
      <w:r w:rsidR="00844235">
        <w:tab/>
      </w:r>
      <w:r w:rsidR="00844235">
        <w:tab/>
      </w:r>
      <w:r w:rsidR="00844235">
        <w:tab/>
      </w:r>
      <w:r w:rsidR="00844235">
        <w:tab/>
      </w:r>
      <w:r w:rsidR="00844235">
        <w:tab/>
      </w:r>
      <w:r w:rsidR="00844235">
        <w:tab/>
      </w:r>
      <w:r w:rsidR="00844235">
        <w:tab/>
      </w:r>
      <w:r w:rsidR="00844235">
        <w:tab/>
      </w:r>
      <w:r w:rsidR="00844235">
        <w:tab/>
      </w:r>
      <w:r w:rsidR="00844235">
        <w:tab/>
      </w:r>
      <w:r w:rsidR="008E5BBA">
        <w:t xml:space="preserve">        </w:t>
      </w:r>
      <w:hyperlink r:id="rId12" w:history="1">
        <w:r w:rsidR="00844235" w:rsidRPr="00824F0A">
          <w:rPr>
            <w:rStyle w:val="Hyperlink"/>
            <w:sz w:val="16"/>
            <w:szCs w:val="16"/>
          </w:rPr>
          <w:t>www.unitedway-cc.org</w:t>
        </w:r>
      </w:hyperlink>
    </w:p>
    <w:p w:rsidR="00694816" w:rsidRDefault="00694816" w:rsidP="00844235">
      <w:pPr>
        <w:pStyle w:val="BodyText"/>
        <w:kinsoku w:val="0"/>
        <w:overflowPunct w:val="0"/>
        <w:spacing w:before="81" w:line="183" w:lineRule="exact"/>
        <w:ind w:left="497"/>
        <w:rPr>
          <w:sz w:val="16"/>
          <w:szCs w:val="16"/>
        </w:rPr>
      </w:pPr>
    </w:p>
    <w:p w:rsidR="002E61E3" w:rsidRDefault="002E61E3">
      <w:pPr>
        <w:pStyle w:val="Heading1"/>
        <w:kinsoku w:val="0"/>
        <w:overflowPunct w:val="0"/>
        <w:spacing w:before="92"/>
        <w:ind w:right="3198"/>
      </w:pPr>
    </w:p>
    <w:p w:rsidR="00694816" w:rsidRDefault="004657B5">
      <w:pPr>
        <w:pStyle w:val="Heading1"/>
        <w:kinsoku w:val="0"/>
        <w:overflowPunct w:val="0"/>
        <w:spacing w:before="92"/>
        <w:ind w:right="3198"/>
      </w:pPr>
      <w:r>
        <w:t xml:space="preserve">Cumberland County Awarded Federal Funds </w:t>
      </w:r>
      <w:r w:rsidR="00844235">
        <w:t>under</w:t>
      </w:r>
      <w:r>
        <w:t xml:space="preserve"> Phase 37 &amp; Phase CARES Act of the Emergency Food and Shelter Program</w:t>
      </w:r>
    </w:p>
    <w:p w:rsidR="00694816" w:rsidRDefault="004657B5">
      <w:pPr>
        <w:pStyle w:val="BodyText"/>
        <w:kinsoku w:val="0"/>
        <w:overflowPunct w:val="0"/>
        <w:spacing w:before="210"/>
        <w:ind w:left="116" w:right="190"/>
        <w:jc w:val="both"/>
      </w:pPr>
      <w:r>
        <w:t>Cumberland County was awarded $138,698 under Phase 37 of the Emergency Food and Shelter Program (EFSP) to help supplement and expand local emergency food and shelter programs. Congress appropriated $197,741 supplemental funding under the EFSP Coronavirus Aid, Relief &amp; Economic Security (CARES) Act to respond to COVID-19’s impact on Cumberland County. Local Recipient Organizations will use EFSP funds for emergency shelters, community feeding programs, food distribution through food pantries, food banks and food vouchers, past due utility payments to prevent service disconnections, past due rent/mortgage assistance to prevent evictions and to assist people that are leaving shelters with establishing stable living conditions. Residents in need of assistance must contact the agency directly to check for availability of funds.</w:t>
      </w:r>
    </w:p>
    <w:p w:rsidR="00694816" w:rsidRDefault="00694816">
      <w:pPr>
        <w:pStyle w:val="BodyText"/>
        <w:kinsoku w:val="0"/>
        <w:overflowPunct w:val="0"/>
        <w:spacing w:before="8"/>
        <w:ind w:left="0"/>
        <w:rPr>
          <w:sz w:val="17"/>
          <w:szCs w:val="17"/>
        </w:rPr>
      </w:pPr>
    </w:p>
    <w:p w:rsidR="00694816" w:rsidRDefault="004657B5">
      <w:pPr>
        <w:pStyle w:val="Heading2"/>
        <w:kinsoku w:val="0"/>
        <w:overflowPunct w:val="0"/>
      </w:pPr>
      <w:r>
        <w:t>Cumberland County Local Recipient Organizations under Phase 37 are the following:</w:t>
      </w:r>
    </w:p>
    <w:p w:rsidR="00694816" w:rsidRDefault="00694816">
      <w:pPr>
        <w:pStyle w:val="BodyText"/>
        <w:kinsoku w:val="0"/>
        <w:overflowPunct w:val="0"/>
        <w:spacing w:before="3"/>
        <w:ind w:left="0"/>
        <w:rPr>
          <w:b/>
          <w:bC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0"/>
        <w:gridCol w:w="1080"/>
      </w:tblGrid>
      <w:tr w:rsidR="008E5BBA" w:rsidTr="004859D9">
        <w:tc>
          <w:tcPr>
            <w:tcW w:w="10080" w:type="dxa"/>
          </w:tcPr>
          <w:p w:rsidR="008E5BBA" w:rsidRDefault="008E5BBA">
            <w:pPr>
              <w:pStyle w:val="BodyText"/>
              <w:tabs>
                <w:tab w:val="left" w:pos="10197"/>
              </w:tabs>
              <w:kinsoku w:val="0"/>
              <w:overflowPunct w:val="0"/>
              <w:spacing w:before="1" w:line="207" w:lineRule="exact"/>
              <w:ind w:left="0"/>
            </w:pPr>
            <w:r>
              <w:t>Action Pathways Second Harvest Food Bank (Weekend Back Pack Feeding Program</w:t>
            </w:r>
          </w:p>
        </w:tc>
        <w:tc>
          <w:tcPr>
            <w:tcW w:w="1080" w:type="dxa"/>
          </w:tcPr>
          <w:p w:rsidR="008E5BBA" w:rsidRDefault="008E5BBA" w:rsidP="008E5BBA">
            <w:pPr>
              <w:pStyle w:val="BodyText"/>
              <w:tabs>
                <w:tab w:val="left" w:pos="10197"/>
              </w:tabs>
              <w:kinsoku w:val="0"/>
              <w:overflowPunct w:val="0"/>
              <w:spacing w:before="1" w:line="207" w:lineRule="exact"/>
              <w:ind w:left="0"/>
              <w:jc w:val="right"/>
            </w:pPr>
            <w:r>
              <w:t>$</w:t>
            </w:r>
            <w:r w:rsidR="004859D9">
              <w:t xml:space="preserve">   </w:t>
            </w:r>
            <w:r>
              <w:t>18,000</w:t>
            </w:r>
          </w:p>
        </w:tc>
      </w:tr>
      <w:tr w:rsidR="008E5BBA" w:rsidTr="004859D9">
        <w:tc>
          <w:tcPr>
            <w:tcW w:w="10080" w:type="dxa"/>
          </w:tcPr>
          <w:p w:rsidR="008E5BBA" w:rsidRDefault="008E5BBA">
            <w:pPr>
              <w:pStyle w:val="BodyText"/>
              <w:tabs>
                <w:tab w:val="left" w:pos="10197"/>
              </w:tabs>
              <w:kinsoku w:val="0"/>
              <w:overflowPunct w:val="0"/>
              <w:spacing w:before="1" w:line="207" w:lineRule="exact"/>
              <w:ind w:left="0"/>
            </w:pPr>
            <w:r>
              <w:t>Cumberland Interfaith Hospitality Network/Family Promise (Emergency Shelter for Homeless Families)</w:t>
            </w:r>
          </w:p>
        </w:tc>
        <w:tc>
          <w:tcPr>
            <w:tcW w:w="1080" w:type="dxa"/>
          </w:tcPr>
          <w:p w:rsidR="008E5BBA" w:rsidRDefault="008E5BBA" w:rsidP="008E5BBA">
            <w:pPr>
              <w:pStyle w:val="BodyText"/>
              <w:tabs>
                <w:tab w:val="left" w:pos="10197"/>
              </w:tabs>
              <w:kinsoku w:val="0"/>
              <w:overflowPunct w:val="0"/>
              <w:spacing w:before="1" w:line="207" w:lineRule="exact"/>
              <w:ind w:left="0"/>
              <w:jc w:val="right"/>
            </w:pPr>
            <w:r>
              <w:t>$</w:t>
            </w:r>
            <w:r w:rsidR="004859D9">
              <w:t xml:space="preserve">  </w:t>
            </w:r>
            <w:r>
              <w:t>22, 750</w:t>
            </w:r>
          </w:p>
        </w:tc>
      </w:tr>
      <w:tr w:rsidR="008E5BBA" w:rsidTr="004859D9">
        <w:tc>
          <w:tcPr>
            <w:tcW w:w="10080" w:type="dxa"/>
          </w:tcPr>
          <w:p w:rsidR="008E5BBA" w:rsidRDefault="008E5BBA">
            <w:pPr>
              <w:pStyle w:val="BodyText"/>
              <w:tabs>
                <w:tab w:val="left" w:pos="10197"/>
              </w:tabs>
              <w:kinsoku w:val="0"/>
              <w:overflowPunct w:val="0"/>
              <w:spacing w:before="1" w:line="207" w:lineRule="exact"/>
              <w:ind w:left="0"/>
            </w:pPr>
            <w:r>
              <w:t>Operation Blessings of Fayetteville (Rent/Mortgage Assistance Program)</w:t>
            </w:r>
          </w:p>
        </w:tc>
        <w:tc>
          <w:tcPr>
            <w:tcW w:w="1080" w:type="dxa"/>
          </w:tcPr>
          <w:p w:rsidR="008E5BBA" w:rsidRDefault="008E5BBA" w:rsidP="008E5BBA">
            <w:pPr>
              <w:pStyle w:val="BodyText"/>
              <w:tabs>
                <w:tab w:val="left" w:pos="10197"/>
              </w:tabs>
              <w:kinsoku w:val="0"/>
              <w:overflowPunct w:val="0"/>
              <w:spacing w:before="1" w:line="207" w:lineRule="exact"/>
              <w:ind w:left="0"/>
              <w:jc w:val="right"/>
            </w:pPr>
            <w:r>
              <w:t>$</w:t>
            </w:r>
            <w:r w:rsidR="004859D9">
              <w:t xml:space="preserve">   </w:t>
            </w:r>
            <w:r>
              <w:t>20,172</w:t>
            </w:r>
          </w:p>
        </w:tc>
      </w:tr>
      <w:tr w:rsidR="008E5BBA" w:rsidTr="004859D9">
        <w:tc>
          <w:tcPr>
            <w:tcW w:w="10080" w:type="dxa"/>
          </w:tcPr>
          <w:p w:rsidR="008E5BBA" w:rsidRDefault="008E5BBA">
            <w:pPr>
              <w:pStyle w:val="BodyText"/>
              <w:tabs>
                <w:tab w:val="left" w:pos="10197"/>
              </w:tabs>
              <w:kinsoku w:val="0"/>
              <w:overflowPunct w:val="0"/>
              <w:spacing w:before="1" w:line="207" w:lineRule="exact"/>
              <w:ind w:left="0"/>
            </w:pPr>
            <w:r>
              <w:t>The Salvation Army (Emergency Shelter Program)</w:t>
            </w:r>
          </w:p>
        </w:tc>
        <w:tc>
          <w:tcPr>
            <w:tcW w:w="1080" w:type="dxa"/>
          </w:tcPr>
          <w:p w:rsidR="008E5BBA" w:rsidRDefault="008E5BBA" w:rsidP="008E5BBA">
            <w:pPr>
              <w:pStyle w:val="BodyText"/>
              <w:tabs>
                <w:tab w:val="left" w:pos="10197"/>
              </w:tabs>
              <w:kinsoku w:val="0"/>
              <w:overflowPunct w:val="0"/>
              <w:spacing w:before="1" w:line="207" w:lineRule="exact"/>
              <w:ind w:left="0"/>
              <w:jc w:val="right"/>
            </w:pPr>
            <w:r>
              <w:t>$</w:t>
            </w:r>
            <w:r w:rsidR="004859D9">
              <w:t xml:space="preserve">   </w:t>
            </w:r>
            <w:r>
              <w:t>75,000</w:t>
            </w:r>
          </w:p>
        </w:tc>
      </w:tr>
      <w:tr w:rsidR="008E5BBA" w:rsidTr="004859D9">
        <w:tc>
          <w:tcPr>
            <w:tcW w:w="10080" w:type="dxa"/>
          </w:tcPr>
          <w:p w:rsidR="008E5BBA" w:rsidRDefault="008E5BBA">
            <w:pPr>
              <w:pStyle w:val="BodyText"/>
              <w:tabs>
                <w:tab w:val="left" w:pos="10197"/>
              </w:tabs>
              <w:kinsoku w:val="0"/>
              <w:overflowPunct w:val="0"/>
              <w:spacing w:before="1" w:line="207" w:lineRule="exact"/>
              <w:ind w:left="0"/>
            </w:pPr>
            <w:r>
              <w:t>United Way of Cumberland County (Administration of EFSP Program)</w:t>
            </w:r>
          </w:p>
        </w:tc>
        <w:tc>
          <w:tcPr>
            <w:tcW w:w="1080" w:type="dxa"/>
          </w:tcPr>
          <w:p w:rsidR="008E5BBA" w:rsidRDefault="008E5BBA" w:rsidP="008E5BBA">
            <w:pPr>
              <w:pStyle w:val="BodyText"/>
              <w:tabs>
                <w:tab w:val="left" w:pos="10197"/>
              </w:tabs>
              <w:kinsoku w:val="0"/>
              <w:overflowPunct w:val="0"/>
              <w:spacing w:before="1" w:line="207" w:lineRule="exact"/>
              <w:ind w:left="0"/>
              <w:jc w:val="right"/>
            </w:pPr>
            <w:r>
              <w:t>$</w:t>
            </w:r>
            <w:r w:rsidR="004859D9">
              <w:t xml:space="preserve">     </w:t>
            </w:r>
            <w:r>
              <w:t>2,774</w:t>
            </w:r>
          </w:p>
        </w:tc>
      </w:tr>
      <w:tr w:rsidR="004859D9" w:rsidTr="004859D9">
        <w:tc>
          <w:tcPr>
            <w:tcW w:w="10080" w:type="dxa"/>
          </w:tcPr>
          <w:p w:rsidR="004859D9" w:rsidRDefault="004859D9">
            <w:pPr>
              <w:pStyle w:val="BodyText"/>
              <w:tabs>
                <w:tab w:val="left" w:pos="10197"/>
              </w:tabs>
              <w:kinsoku w:val="0"/>
              <w:overflowPunct w:val="0"/>
              <w:spacing w:before="1" w:line="207" w:lineRule="exact"/>
              <w:ind w:left="0"/>
            </w:pPr>
          </w:p>
        </w:tc>
        <w:tc>
          <w:tcPr>
            <w:tcW w:w="1080" w:type="dxa"/>
          </w:tcPr>
          <w:p w:rsidR="004859D9" w:rsidRDefault="004859D9" w:rsidP="008E5BBA">
            <w:pPr>
              <w:pStyle w:val="BodyText"/>
              <w:tabs>
                <w:tab w:val="left" w:pos="10197"/>
              </w:tabs>
              <w:kinsoku w:val="0"/>
              <w:overflowPunct w:val="0"/>
              <w:spacing w:before="1" w:line="207" w:lineRule="exact"/>
              <w:ind w:left="0"/>
              <w:jc w:val="right"/>
            </w:pPr>
          </w:p>
        </w:tc>
      </w:tr>
      <w:tr w:rsidR="004859D9" w:rsidTr="004859D9">
        <w:tc>
          <w:tcPr>
            <w:tcW w:w="10080" w:type="dxa"/>
          </w:tcPr>
          <w:p w:rsidR="004859D9" w:rsidRPr="004859D9" w:rsidRDefault="004859D9">
            <w:pPr>
              <w:pStyle w:val="BodyText"/>
              <w:tabs>
                <w:tab w:val="left" w:pos="10197"/>
              </w:tabs>
              <w:kinsoku w:val="0"/>
              <w:overflowPunct w:val="0"/>
              <w:spacing w:before="1" w:line="207" w:lineRule="exact"/>
              <w:ind w:left="0"/>
              <w:rPr>
                <w:b/>
              </w:rPr>
            </w:pPr>
            <w:r>
              <w:rPr>
                <w:b/>
              </w:rPr>
              <w:t>Total Phase 37 Appropriated Funding for Cumberland County</w:t>
            </w:r>
          </w:p>
        </w:tc>
        <w:tc>
          <w:tcPr>
            <w:tcW w:w="1080" w:type="dxa"/>
          </w:tcPr>
          <w:p w:rsidR="004859D9" w:rsidRPr="004859D9" w:rsidRDefault="004859D9" w:rsidP="008E5BBA">
            <w:pPr>
              <w:pStyle w:val="BodyText"/>
              <w:tabs>
                <w:tab w:val="left" w:pos="10197"/>
              </w:tabs>
              <w:kinsoku w:val="0"/>
              <w:overflowPunct w:val="0"/>
              <w:spacing w:before="1" w:line="207" w:lineRule="exact"/>
              <w:ind w:left="0"/>
              <w:jc w:val="right"/>
              <w:rPr>
                <w:b/>
              </w:rPr>
            </w:pPr>
            <w:r>
              <w:rPr>
                <w:b/>
              </w:rPr>
              <w:t>$138,696</w:t>
            </w:r>
          </w:p>
        </w:tc>
      </w:tr>
      <w:tr w:rsidR="004859D9" w:rsidTr="004859D9">
        <w:tc>
          <w:tcPr>
            <w:tcW w:w="10080" w:type="dxa"/>
          </w:tcPr>
          <w:p w:rsidR="004859D9" w:rsidRDefault="004859D9">
            <w:pPr>
              <w:pStyle w:val="BodyText"/>
              <w:tabs>
                <w:tab w:val="left" w:pos="10197"/>
              </w:tabs>
              <w:kinsoku w:val="0"/>
              <w:overflowPunct w:val="0"/>
              <w:spacing w:before="1" w:line="207" w:lineRule="exact"/>
              <w:ind w:left="0"/>
              <w:rPr>
                <w:b/>
              </w:rPr>
            </w:pPr>
          </w:p>
        </w:tc>
        <w:tc>
          <w:tcPr>
            <w:tcW w:w="1080" w:type="dxa"/>
          </w:tcPr>
          <w:p w:rsidR="004859D9" w:rsidRDefault="004859D9" w:rsidP="008E5BBA">
            <w:pPr>
              <w:pStyle w:val="BodyText"/>
              <w:tabs>
                <w:tab w:val="left" w:pos="10197"/>
              </w:tabs>
              <w:kinsoku w:val="0"/>
              <w:overflowPunct w:val="0"/>
              <w:spacing w:before="1" w:line="207" w:lineRule="exact"/>
              <w:ind w:left="0"/>
              <w:jc w:val="right"/>
              <w:rPr>
                <w:b/>
              </w:rPr>
            </w:pPr>
          </w:p>
        </w:tc>
      </w:tr>
      <w:tr w:rsidR="004859D9" w:rsidTr="004859D9">
        <w:tc>
          <w:tcPr>
            <w:tcW w:w="10080" w:type="dxa"/>
          </w:tcPr>
          <w:p w:rsidR="004859D9" w:rsidRPr="004859D9" w:rsidRDefault="004859D9" w:rsidP="004859D9">
            <w:pPr>
              <w:pStyle w:val="BodyText"/>
              <w:spacing w:before="1" w:line="207" w:lineRule="exact"/>
              <w:ind w:left="0"/>
              <w:rPr>
                <w:b/>
                <w:bCs/>
              </w:rPr>
            </w:pPr>
          </w:p>
        </w:tc>
        <w:tc>
          <w:tcPr>
            <w:tcW w:w="1080" w:type="dxa"/>
          </w:tcPr>
          <w:p w:rsidR="004859D9" w:rsidRDefault="004859D9" w:rsidP="008E5BBA">
            <w:pPr>
              <w:pStyle w:val="BodyText"/>
              <w:tabs>
                <w:tab w:val="left" w:pos="10197"/>
              </w:tabs>
              <w:kinsoku w:val="0"/>
              <w:overflowPunct w:val="0"/>
              <w:spacing w:before="1" w:line="207" w:lineRule="exact"/>
              <w:ind w:left="0"/>
              <w:jc w:val="right"/>
              <w:rPr>
                <w:b/>
              </w:rPr>
            </w:pPr>
          </w:p>
        </w:tc>
      </w:tr>
      <w:tr w:rsidR="004859D9" w:rsidTr="004859D9">
        <w:tc>
          <w:tcPr>
            <w:tcW w:w="10080" w:type="dxa"/>
          </w:tcPr>
          <w:p w:rsidR="004859D9" w:rsidRPr="004859D9" w:rsidRDefault="004859D9" w:rsidP="004859D9">
            <w:pPr>
              <w:pStyle w:val="BodyText"/>
              <w:spacing w:before="1" w:line="207" w:lineRule="exact"/>
              <w:ind w:left="0"/>
              <w:rPr>
                <w:b/>
                <w:bCs/>
              </w:rPr>
            </w:pPr>
            <w:r w:rsidRPr="004859D9">
              <w:rPr>
                <w:b/>
                <w:bCs/>
              </w:rPr>
              <w:t>Cumberland County Local Recipient Organizations under Phase CARES Act are the following:</w:t>
            </w:r>
          </w:p>
          <w:p w:rsidR="004859D9" w:rsidRDefault="004859D9">
            <w:pPr>
              <w:pStyle w:val="BodyText"/>
              <w:tabs>
                <w:tab w:val="left" w:pos="10197"/>
              </w:tabs>
              <w:kinsoku w:val="0"/>
              <w:overflowPunct w:val="0"/>
              <w:spacing w:before="1" w:line="207" w:lineRule="exact"/>
              <w:ind w:left="0"/>
              <w:rPr>
                <w:b/>
              </w:rPr>
            </w:pPr>
          </w:p>
        </w:tc>
        <w:tc>
          <w:tcPr>
            <w:tcW w:w="1080" w:type="dxa"/>
          </w:tcPr>
          <w:p w:rsidR="004859D9" w:rsidRDefault="004859D9" w:rsidP="008E5BBA">
            <w:pPr>
              <w:pStyle w:val="BodyText"/>
              <w:tabs>
                <w:tab w:val="left" w:pos="10197"/>
              </w:tabs>
              <w:kinsoku w:val="0"/>
              <w:overflowPunct w:val="0"/>
              <w:spacing w:before="1" w:line="207" w:lineRule="exact"/>
              <w:ind w:left="0"/>
              <w:jc w:val="right"/>
              <w:rPr>
                <w:b/>
              </w:rPr>
            </w:pPr>
          </w:p>
        </w:tc>
      </w:tr>
      <w:tr w:rsidR="004859D9" w:rsidTr="004859D9">
        <w:tc>
          <w:tcPr>
            <w:tcW w:w="10080" w:type="dxa"/>
          </w:tcPr>
          <w:p w:rsidR="004859D9" w:rsidRPr="004859D9" w:rsidRDefault="004859D9" w:rsidP="004859D9">
            <w:pPr>
              <w:pStyle w:val="BodyText"/>
              <w:spacing w:before="1" w:line="207" w:lineRule="exact"/>
              <w:ind w:left="0"/>
              <w:rPr>
                <w:bCs/>
              </w:rPr>
            </w:pPr>
            <w:r w:rsidRPr="004859D9">
              <w:rPr>
                <w:bCs/>
              </w:rPr>
              <w:t>Cumberland Disaster Recovery Coalition</w:t>
            </w:r>
            <w:r>
              <w:rPr>
                <w:bCs/>
              </w:rPr>
              <w:t xml:space="preserve"> </w:t>
            </w:r>
            <w:r w:rsidRPr="004859D9">
              <w:rPr>
                <w:bCs/>
              </w:rPr>
              <w:t>($10,000 Rent/Mortgage Assistance &amp; $5,000 Utility Assistance)</w:t>
            </w:r>
          </w:p>
        </w:tc>
        <w:tc>
          <w:tcPr>
            <w:tcW w:w="1080" w:type="dxa"/>
          </w:tcPr>
          <w:p w:rsidR="004859D9" w:rsidRDefault="004859D9" w:rsidP="008E5BBA">
            <w:pPr>
              <w:pStyle w:val="BodyText"/>
              <w:tabs>
                <w:tab w:val="left" w:pos="10197"/>
              </w:tabs>
              <w:kinsoku w:val="0"/>
              <w:overflowPunct w:val="0"/>
              <w:spacing w:before="1" w:line="207" w:lineRule="exact"/>
              <w:ind w:left="0"/>
              <w:jc w:val="right"/>
              <w:rPr>
                <w:b/>
              </w:rPr>
            </w:pPr>
            <w:r>
              <w:t>$15,000</w:t>
            </w:r>
          </w:p>
        </w:tc>
      </w:tr>
      <w:tr w:rsidR="004859D9" w:rsidTr="004859D9">
        <w:tc>
          <w:tcPr>
            <w:tcW w:w="10080" w:type="dxa"/>
          </w:tcPr>
          <w:p w:rsidR="004859D9" w:rsidRDefault="004859D9" w:rsidP="004859D9">
            <w:pPr>
              <w:pStyle w:val="BodyText"/>
              <w:spacing w:before="1" w:line="207" w:lineRule="exact"/>
              <w:ind w:left="0"/>
              <w:rPr>
                <w:bCs/>
              </w:rPr>
            </w:pPr>
            <w:r>
              <w:t>Cumberland Interfaith Hospitality</w:t>
            </w:r>
            <w:r>
              <w:rPr>
                <w:spacing w:val="-9"/>
              </w:rPr>
              <w:t xml:space="preserve"> </w:t>
            </w:r>
            <w:r>
              <w:t>Network/Family</w:t>
            </w:r>
            <w:r>
              <w:rPr>
                <w:spacing w:val="-5"/>
              </w:rPr>
              <w:t xml:space="preserve"> </w:t>
            </w:r>
            <w:r>
              <w:t>Promise</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w:t>
            </w:r>
            <w:r w:rsidR="00C25535">
              <w:t>57,895</w:t>
            </w:r>
          </w:p>
        </w:tc>
      </w:tr>
      <w:tr w:rsidR="004859D9" w:rsidTr="004859D9">
        <w:tc>
          <w:tcPr>
            <w:tcW w:w="10080" w:type="dxa"/>
          </w:tcPr>
          <w:p w:rsidR="004859D9" w:rsidRDefault="004859D9" w:rsidP="004859D9">
            <w:pPr>
              <w:pStyle w:val="BodyText"/>
              <w:spacing w:before="1" w:line="207" w:lineRule="exact"/>
              <w:ind w:left="0"/>
            </w:pPr>
            <w:r>
              <w:t xml:space="preserve">         </w:t>
            </w:r>
            <w:r w:rsidRPr="004859D9">
              <w:t>($32,750 Emergency Shelter for Homeless Families; $16,045 Rent/Mortgage Assistance; &amp;</w:t>
            </w:r>
            <w:r>
              <w:t xml:space="preserve"> </w:t>
            </w:r>
            <w:r w:rsidRPr="004859D9">
              <w:t>$9,100 Served Meals)</w:t>
            </w:r>
          </w:p>
        </w:tc>
        <w:tc>
          <w:tcPr>
            <w:tcW w:w="1080" w:type="dxa"/>
          </w:tcPr>
          <w:p w:rsidR="004859D9" w:rsidRDefault="004859D9" w:rsidP="008E5BBA">
            <w:pPr>
              <w:pStyle w:val="BodyText"/>
              <w:tabs>
                <w:tab w:val="left" w:pos="10197"/>
              </w:tabs>
              <w:kinsoku w:val="0"/>
              <w:overflowPunct w:val="0"/>
              <w:spacing w:before="1" w:line="207" w:lineRule="exact"/>
              <w:ind w:left="0"/>
              <w:jc w:val="right"/>
            </w:pPr>
          </w:p>
        </w:tc>
      </w:tr>
      <w:tr w:rsidR="004859D9" w:rsidTr="004859D9">
        <w:tc>
          <w:tcPr>
            <w:tcW w:w="10080" w:type="dxa"/>
          </w:tcPr>
          <w:p w:rsidR="004859D9" w:rsidRDefault="004859D9" w:rsidP="004859D9">
            <w:pPr>
              <w:pStyle w:val="BodyText"/>
              <w:spacing w:before="1" w:line="207" w:lineRule="exact"/>
              <w:ind w:left="0"/>
            </w:pPr>
            <w:r>
              <w:t>D’Vine Concepts A-Z, Inc</w:t>
            </w:r>
            <w:r>
              <w:rPr>
                <w:spacing w:val="-7"/>
              </w:rPr>
              <w:t xml:space="preserve"> </w:t>
            </w:r>
            <w:r>
              <w:t>(Food</w:t>
            </w:r>
            <w:r>
              <w:rPr>
                <w:spacing w:val="-2"/>
              </w:rPr>
              <w:t xml:space="preserve"> </w:t>
            </w:r>
            <w:r>
              <w:t>Assistance)</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   8,000</w:t>
            </w:r>
          </w:p>
        </w:tc>
      </w:tr>
      <w:tr w:rsidR="004859D9" w:rsidTr="004859D9">
        <w:tc>
          <w:tcPr>
            <w:tcW w:w="10080" w:type="dxa"/>
          </w:tcPr>
          <w:p w:rsidR="004859D9" w:rsidRDefault="004859D9" w:rsidP="004859D9">
            <w:pPr>
              <w:pStyle w:val="BodyText"/>
              <w:spacing w:before="1" w:line="207" w:lineRule="exact"/>
              <w:ind w:left="0"/>
            </w:pPr>
            <w:r>
              <w:t>Fayetteville Urban Ministry ($10,000 Food Assistance; $5,491 Rent Assistance; $25,000</w:t>
            </w:r>
            <w:r>
              <w:rPr>
                <w:spacing w:val="-18"/>
              </w:rPr>
              <w:t xml:space="preserve"> </w:t>
            </w:r>
            <w:r>
              <w:t>Utility</w:t>
            </w:r>
            <w:r>
              <w:rPr>
                <w:spacing w:val="-3"/>
              </w:rPr>
              <w:t xml:space="preserve"> </w:t>
            </w:r>
            <w:r>
              <w:t>Assistance)</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 xml:space="preserve">  $ 40,491</w:t>
            </w:r>
          </w:p>
        </w:tc>
      </w:tr>
      <w:tr w:rsidR="004859D9" w:rsidTr="004859D9">
        <w:tc>
          <w:tcPr>
            <w:tcW w:w="10080" w:type="dxa"/>
          </w:tcPr>
          <w:p w:rsidR="004859D9" w:rsidRDefault="004859D9" w:rsidP="004859D9">
            <w:pPr>
              <w:pStyle w:val="BodyText"/>
              <w:spacing w:before="1" w:line="207" w:lineRule="exact"/>
              <w:ind w:left="0"/>
            </w:pPr>
            <w:r>
              <w:t>Operation Blessings of Fayetteville ($10,000 Food Vouchers &amp; $7,000</w:t>
            </w:r>
            <w:r>
              <w:rPr>
                <w:spacing w:val="-22"/>
              </w:rPr>
              <w:t xml:space="preserve"> </w:t>
            </w:r>
            <w:r>
              <w:t>Utility</w:t>
            </w:r>
            <w:r>
              <w:rPr>
                <w:spacing w:val="-3"/>
              </w:rPr>
              <w:t xml:space="preserve"> </w:t>
            </w:r>
            <w:r>
              <w:t>Assistance)</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  17,000</w:t>
            </w:r>
          </w:p>
        </w:tc>
      </w:tr>
      <w:tr w:rsidR="004859D9" w:rsidTr="004859D9">
        <w:tc>
          <w:tcPr>
            <w:tcW w:w="10080" w:type="dxa"/>
          </w:tcPr>
          <w:p w:rsidR="004859D9" w:rsidRDefault="004859D9" w:rsidP="004859D9">
            <w:pPr>
              <w:pStyle w:val="BodyText"/>
              <w:spacing w:before="1" w:line="207" w:lineRule="exact"/>
              <w:ind w:left="0"/>
            </w:pPr>
            <w:r>
              <w:t>St. Ann Catholic Church (Alter Rosary Homeless Feeding Program</w:t>
            </w:r>
            <w:r>
              <w:rPr>
                <w:spacing w:val="-18"/>
              </w:rPr>
              <w:t xml:space="preserve"> </w:t>
            </w:r>
            <w:r>
              <w:t>Served</w:t>
            </w:r>
            <w:r>
              <w:rPr>
                <w:spacing w:val="-3"/>
              </w:rPr>
              <w:t xml:space="preserve"> </w:t>
            </w:r>
            <w:r>
              <w:t>Meals)</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    5,400</w:t>
            </w:r>
          </w:p>
        </w:tc>
      </w:tr>
      <w:tr w:rsidR="004859D9" w:rsidTr="004859D9">
        <w:tc>
          <w:tcPr>
            <w:tcW w:w="10080" w:type="dxa"/>
          </w:tcPr>
          <w:p w:rsidR="004859D9" w:rsidRDefault="004859D9" w:rsidP="004859D9">
            <w:pPr>
              <w:pStyle w:val="BodyText"/>
              <w:spacing w:before="1" w:line="207" w:lineRule="exact"/>
              <w:ind w:left="0"/>
            </w:pPr>
            <w:r>
              <w:t>The Salvation Army (Community</w:t>
            </w:r>
            <w:r>
              <w:rPr>
                <w:spacing w:val="-10"/>
              </w:rPr>
              <w:t xml:space="preserve"> </w:t>
            </w:r>
            <w:r>
              <w:t>Feeding</w:t>
            </w:r>
            <w:r>
              <w:rPr>
                <w:spacing w:val="1"/>
              </w:rPr>
              <w:t xml:space="preserve"> </w:t>
            </w:r>
            <w:r>
              <w:t>Program)</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  50,000</w:t>
            </w:r>
          </w:p>
        </w:tc>
      </w:tr>
      <w:tr w:rsidR="004859D9" w:rsidTr="004859D9">
        <w:tc>
          <w:tcPr>
            <w:tcW w:w="10080" w:type="dxa"/>
          </w:tcPr>
          <w:p w:rsidR="004859D9" w:rsidRDefault="004859D9" w:rsidP="004859D9">
            <w:pPr>
              <w:pStyle w:val="BodyText"/>
              <w:spacing w:before="1" w:line="207" w:lineRule="exact"/>
              <w:ind w:left="0"/>
            </w:pPr>
            <w:r>
              <w:t xml:space="preserve">United </w:t>
            </w:r>
            <w:r>
              <w:rPr>
                <w:spacing w:val="2"/>
              </w:rPr>
              <w:t xml:space="preserve">Way </w:t>
            </w:r>
            <w:r>
              <w:t>of Cumberland County (Administration of</w:t>
            </w:r>
            <w:r>
              <w:rPr>
                <w:spacing w:val="-24"/>
              </w:rPr>
              <w:t xml:space="preserve"> </w:t>
            </w:r>
            <w:r>
              <w:t>EFSP</w:t>
            </w:r>
            <w:r>
              <w:rPr>
                <w:spacing w:val="-4"/>
              </w:rPr>
              <w:t xml:space="preserve"> </w:t>
            </w:r>
            <w:r>
              <w:t>Program)</w:t>
            </w:r>
          </w:p>
        </w:tc>
        <w:tc>
          <w:tcPr>
            <w:tcW w:w="1080" w:type="dxa"/>
          </w:tcPr>
          <w:p w:rsidR="004859D9" w:rsidRDefault="004859D9" w:rsidP="008E5BBA">
            <w:pPr>
              <w:pStyle w:val="BodyText"/>
              <w:tabs>
                <w:tab w:val="left" w:pos="10197"/>
              </w:tabs>
              <w:kinsoku w:val="0"/>
              <w:overflowPunct w:val="0"/>
              <w:spacing w:before="1" w:line="207" w:lineRule="exact"/>
              <w:ind w:left="0"/>
              <w:jc w:val="right"/>
            </w:pPr>
            <w:r>
              <w:t>$</w:t>
            </w:r>
            <w:r>
              <w:rPr>
                <w:spacing w:val="49"/>
              </w:rPr>
              <w:t xml:space="preserve">  </w:t>
            </w:r>
            <w:r>
              <w:t>3,955</w:t>
            </w:r>
          </w:p>
        </w:tc>
      </w:tr>
      <w:tr w:rsidR="004859D9" w:rsidTr="004859D9">
        <w:tc>
          <w:tcPr>
            <w:tcW w:w="10080" w:type="dxa"/>
          </w:tcPr>
          <w:p w:rsidR="004859D9" w:rsidRDefault="004859D9" w:rsidP="004859D9">
            <w:pPr>
              <w:pStyle w:val="BodyText"/>
              <w:spacing w:before="1" w:line="207" w:lineRule="exact"/>
              <w:ind w:left="0"/>
            </w:pPr>
          </w:p>
        </w:tc>
        <w:tc>
          <w:tcPr>
            <w:tcW w:w="1080" w:type="dxa"/>
          </w:tcPr>
          <w:p w:rsidR="004859D9" w:rsidRDefault="004859D9" w:rsidP="008E5BBA">
            <w:pPr>
              <w:pStyle w:val="BodyText"/>
              <w:tabs>
                <w:tab w:val="left" w:pos="10197"/>
              </w:tabs>
              <w:kinsoku w:val="0"/>
              <w:overflowPunct w:val="0"/>
              <w:spacing w:before="1" w:line="207" w:lineRule="exact"/>
              <w:ind w:left="0"/>
              <w:jc w:val="right"/>
            </w:pPr>
          </w:p>
        </w:tc>
      </w:tr>
      <w:tr w:rsidR="004859D9" w:rsidTr="004859D9">
        <w:tc>
          <w:tcPr>
            <w:tcW w:w="10080" w:type="dxa"/>
          </w:tcPr>
          <w:p w:rsidR="004859D9" w:rsidRDefault="004859D9" w:rsidP="004859D9">
            <w:pPr>
              <w:pStyle w:val="BodyText"/>
              <w:spacing w:before="1" w:line="207" w:lineRule="exact"/>
              <w:ind w:left="0"/>
            </w:pPr>
            <w:r w:rsidRPr="004859D9">
              <w:rPr>
                <w:b/>
              </w:rPr>
              <w:t>Total Phase CARES Act Appropriated Funding for Cumberland County</w:t>
            </w:r>
          </w:p>
        </w:tc>
        <w:tc>
          <w:tcPr>
            <w:tcW w:w="1080" w:type="dxa"/>
          </w:tcPr>
          <w:p w:rsidR="004859D9" w:rsidRPr="004859D9" w:rsidRDefault="004859D9" w:rsidP="008E5BBA">
            <w:pPr>
              <w:pStyle w:val="BodyText"/>
              <w:tabs>
                <w:tab w:val="left" w:pos="10197"/>
              </w:tabs>
              <w:kinsoku w:val="0"/>
              <w:overflowPunct w:val="0"/>
              <w:spacing w:before="1" w:line="207" w:lineRule="exact"/>
              <w:ind w:left="0"/>
              <w:jc w:val="right"/>
              <w:rPr>
                <w:b/>
              </w:rPr>
            </w:pPr>
            <w:r w:rsidRPr="004859D9">
              <w:rPr>
                <w:b/>
              </w:rPr>
              <w:t>$197,741</w:t>
            </w:r>
          </w:p>
        </w:tc>
      </w:tr>
    </w:tbl>
    <w:p w:rsidR="008E5BBA" w:rsidRDefault="008E5BBA">
      <w:pPr>
        <w:pStyle w:val="BodyText"/>
        <w:tabs>
          <w:tab w:val="left" w:pos="10197"/>
        </w:tabs>
        <w:kinsoku w:val="0"/>
        <w:overflowPunct w:val="0"/>
        <w:spacing w:before="1" w:line="207" w:lineRule="exact"/>
      </w:pPr>
    </w:p>
    <w:p w:rsidR="00694816" w:rsidRDefault="00694816">
      <w:pPr>
        <w:pStyle w:val="BodyText"/>
        <w:kinsoku w:val="0"/>
        <w:overflowPunct w:val="0"/>
        <w:ind w:left="0"/>
        <w:rPr>
          <w:b/>
          <w:bCs/>
          <w:sz w:val="20"/>
          <w:szCs w:val="20"/>
        </w:rPr>
      </w:pPr>
    </w:p>
    <w:p w:rsidR="00694816" w:rsidRDefault="00694816">
      <w:pPr>
        <w:pStyle w:val="BodyText"/>
        <w:kinsoku w:val="0"/>
        <w:overflowPunct w:val="0"/>
        <w:spacing w:before="1"/>
        <w:ind w:left="0"/>
        <w:rPr>
          <w:b/>
          <w:bCs/>
          <w:sz w:val="16"/>
          <w:szCs w:val="16"/>
        </w:rPr>
      </w:pPr>
    </w:p>
    <w:p w:rsidR="00694816" w:rsidRDefault="004657B5">
      <w:pPr>
        <w:pStyle w:val="BodyText"/>
        <w:kinsoku w:val="0"/>
        <w:overflowPunct w:val="0"/>
        <w:ind w:left="116"/>
        <w:rPr>
          <w:b/>
          <w:bCs/>
        </w:rPr>
      </w:pPr>
      <w:r>
        <w:rPr>
          <w:b/>
          <w:bCs/>
        </w:rPr>
        <w:t>About Emergency Food &amp; Shelter Program:</w:t>
      </w:r>
    </w:p>
    <w:p w:rsidR="00694816" w:rsidRDefault="004657B5">
      <w:pPr>
        <w:pStyle w:val="BodyText"/>
        <w:kinsoku w:val="0"/>
        <w:overflowPunct w:val="0"/>
        <w:spacing w:before="4"/>
        <w:ind w:left="116" w:right="202"/>
      </w:pPr>
      <w:r>
        <w:t>The Emergency Food &amp; Shelter Program is a Federal program administered by the U.S Department of Homeland Security’s Federal Emergency Management Agency (DHS/FEMA). It has been entr</w:t>
      </w:r>
      <w:r w:rsidR="00844235">
        <w:t>usted through the McKinney-Vent</w:t>
      </w:r>
      <w:r>
        <w:t xml:space="preserve">o Homeless Assistance Act (PL 100-77) “to supplement and expand </w:t>
      </w:r>
      <w:r>
        <w:rPr>
          <w:u w:val="single" w:color="000000"/>
        </w:rPr>
        <w:t xml:space="preserve">ongoing </w:t>
      </w:r>
      <w:r>
        <w:t>efforts to provide shelter, food and supportive services” by local social service organizations for people across our Nation who are hungry, homeless, and in economic crisis. The EFSP National Board designated United Way of Cumberland County to serve as the administrator to the Local EFSP Board.  Representatives from the following organizations are mandated to comprise the Local EFSP Board:  American Red Cross; Catholic Charities USA; The Jewish Federations of North America; National Council of Churches of Christ in the USA; The Salvation Army; United Way of Cumberland County; Homeless Agency Representative; Native American Agency Representative; Government Agency Representative; and Aging Council Agency</w:t>
      </w:r>
      <w:r>
        <w:rPr>
          <w:spacing w:val="-19"/>
        </w:rPr>
        <w:t xml:space="preserve"> </w:t>
      </w:r>
      <w:r>
        <w:t>Representative.</w:t>
      </w:r>
    </w:p>
    <w:p w:rsidR="00694816" w:rsidRDefault="00694816">
      <w:pPr>
        <w:pStyle w:val="BodyText"/>
        <w:kinsoku w:val="0"/>
        <w:overflowPunct w:val="0"/>
        <w:ind w:left="0"/>
      </w:pPr>
    </w:p>
    <w:p w:rsidR="00694816" w:rsidRDefault="004657B5">
      <w:pPr>
        <w:pStyle w:val="BodyText"/>
        <w:kinsoku w:val="0"/>
        <w:overflowPunct w:val="0"/>
        <w:ind w:left="116"/>
      </w:pPr>
      <w:r>
        <w:t>Give. Advocate. Volunteer. LIVE UNITED.</w:t>
      </w:r>
    </w:p>
    <w:p w:rsidR="00694816" w:rsidRDefault="00694816">
      <w:pPr>
        <w:pStyle w:val="BodyText"/>
        <w:kinsoku w:val="0"/>
        <w:overflowPunct w:val="0"/>
        <w:spacing w:before="1"/>
        <w:ind w:left="0"/>
        <w:rPr>
          <w:sz w:val="24"/>
          <w:szCs w:val="24"/>
        </w:rPr>
      </w:pPr>
    </w:p>
    <w:p w:rsidR="00694816" w:rsidRDefault="004657B5">
      <w:pPr>
        <w:pStyle w:val="Heading1"/>
        <w:kinsoku w:val="0"/>
        <w:overflowPunct w:val="0"/>
      </w:pPr>
      <w:r>
        <w:t>###</w:t>
      </w:r>
    </w:p>
    <w:sectPr w:rsidR="00694816" w:rsidSect="00694816">
      <w:type w:val="continuous"/>
      <w:pgSz w:w="12240" w:h="15840"/>
      <w:pgMar w:top="280" w:right="380" w:bottom="280" w:left="460" w:header="720" w:footer="720" w:gutter="0"/>
      <w:cols w:space="720" w:equalWidth="0">
        <w:col w:w="114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
  <w:rsids>
    <w:rsidRoot w:val="002B0001"/>
    <w:rsid w:val="00100D3C"/>
    <w:rsid w:val="002B0001"/>
    <w:rsid w:val="002E61E3"/>
    <w:rsid w:val="004657B5"/>
    <w:rsid w:val="004859D9"/>
    <w:rsid w:val="00694816"/>
    <w:rsid w:val="00844235"/>
    <w:rsid w:val="008E5BBA"/>
    <w:rsid w:val="00C25535"/>
    <w:rsid w:val="00C958AD"/>
    <w:rsid w:val="00FD0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4816"/>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rsid w:val="00694816"/>
    <w:pPr>
      <w:ind w:left="3118" w:right="3195"/>
      <w:jc w:val="center"/>
      <w:outlineLvl w:val="0"/>
    </w:pPr>
    <w:rPr>
      <w:b/>
      <w:bCs/>
      <w:sz w:val="24"/>
      <w:szCs w:val="24"/>
    </w:rPr>
  </w:style>
  <w:style w:type="paragraph" w:styleId="Heading2">
    <w:name w:val="heading 2"/>
    <w:basedOn w:val="Normal"/>
    <w:next w:val="Normal"/>
    <w:link w:val="Heading2Char"/>
    <w:uiPriority w:val="1"/>
    <w:qFormat/>
    <w:rsid w:val="00694816"/>
    <w:pPr>
      <w:ind w:left="11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4816"/>
    <w:pPr>
      <w:ind w:left="836"/>
    </w:pPr>
    <w:rPr>
      <w:sz w:val="18"/>
      <w:szCs w:val="18"/>
    </w:rPr>
  </w:style>
  <w:style w:type="character" w:customStyle="1" w:styleId="BodyTextChar">
    <w:name w:val="Body Text Char"/>
    <w:basedOn w:val="DefaultParagraphFont"/>
    <w:link w:val="BodyText"/>
    <w:uiPriority w:val="99"/>
    <w:semiHidden/>
    <w:rsid w:val="00694816"/>
    <w:rPr>
      <w:rFonts w:ascii="Arial" w:hAnsi="Arial" w:cs="Arial"/>
    </w:rPr>
  </w:style>
  <w:style w:type="character" w:customStyle="1" w:styleId="Heading1Char">
    <w:name w:val="Heading 1 Char"/>
    <w:basedOn w:val="DefaultParagraphFont"/>
    <w:link w:val="Heading1"/>
    <w:uiPriority w:val="9"/>
    <w:rsid w:val="006948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4816"/>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694816"/>
    <w:rPr>
      <w:rFonts w:ascii="Times New Roman" w:hAnsi="Times New Roman" w:cs="Times New Roman"/>
      <w:sz w:val="24"/>
      <w:szCs w:val="24"/>
    </w:rPr>
  </w:style>
  <w:style w:type="paragraph" w:customStyle="1" w:styleId="TableParagraph">
    <w:name w:val="Table Paragraph"/>
    <w:basedOn w:val="Normal"/>
    <w:uiPriority w:val="1"/>
    <w:qFormat/>
    <w:rsid w:val="0069481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235"/>
    <w:rPr>
      <w:rFonts w:ascii="Tahoma" w:hAnsi="Tahoma" w:cs="Tahoma"/>
      <w:sz w:val="16"/>
      <w:szCs w:val="16"/>
    </w:rPr>
  </w:style>
  <w:style w:type="character" w:customStyle="1" w:styleId="BalloonTextChar">
    <w:name w:val="Balloon Text Char"/>
    <w:basedOn w:val="DefaultParagraphFont"/>
    <w:link w:val="BalloonText"/>
    <w:uiPriority w:val="99"/>
    <w:semiHidden/>
    <w:rsid w:val="00844235"/>
    <w:rPr>
      <w:rFonts w:ascii="Tahoma" w:hAnsi="Tahoma" w:cs="Tahoma"/>
      <w:sz w:val="16"/>
      <w:szCs w:val="16"/>
    </w:rPr>
  </w:style>
  <w:style w:type="paragraph" w:styleId="Title">
    <w:name w:val="Title"/>
    <w:basedOn w:val="Normal"/>
    <w:link w:val="TitleChar"/>
    <w:qFormat/>
    <w:rsid w:val="00844235"/>
    <w:pPr>
      <w:widowControl/>
      <w:autoSpaceDE/>
      <w:autoSpaceDN/>
      <w:adjustRightInd/>
      <w:jc w:val="center"/>
    </w:pPr>
    <w:rPr>
      <w:rFonts w:ascii="Tahoma" w:eastAsia="Batang" w:hAnsi="Tahoma" w:cs="Tahoma"/>
      <w:b/>
      <w:bCs/>
      <w:sz w:val="24"/>
      <w:szCs w:val="24"/>
    </w:rPr>
  </w:style>
  <w:style w:type="character" w:customStyle="1" w:styleId="TitleChar">
    <w:name w:val="Title Char"/>
    <w:basedOn w:val="DefaultParagraphFont"/>
    <w:link w:val="Title"/>
    <w:rsid w:val="00844235"/>
    <w:rPr>
      <w:rFonts w:ascii="Tahoma" w:eastAsia="Batang" w:hAnsi="Tahoma" w:cs="Tahoma"/>
      <w:b/>
      <w:bCs/>
      <w:sz w:val="24"/>
      <w:szCs w:val="24"/>
    </w:rPr>
  </w:style>
  <w:style w:type="character" w:styleId="Hyperlink">
    <w:name w:val="Hyperlink"/>
    <w:basedOn w:val="DefaultParagraphFont"/>
    <w:uiPriority w:val="99"/>
    <w:unhideWhenUsed/>
    <w:rsid w:val="00844235"/>
    <w:rPr>
      <w:color w:val="0000FF" w:themeColor="hyperlink"/>
      <w:u w:val="single"/>
    </w:rPr>
  </w:style>
  <w:style w:type="table" w:styleId="TableGrid">
    <w:name w:val="Table Grid"/>
    <w:basedOn w:val="TableNormal"/>
    <w:uiPriority w:val="59"/>
    <w:rsid w:val="008E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http://www.unitedway-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crystalmmcnair@unitedway-cc.org" TargetMode="Externa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WAY OF CUMBERLAND COUNTY</vt:lpstr>
    </vt:vector>
  </TitlesOfParts>
  <Company>Grizli777</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CUMBERLAND COUNTY</dc:title>
  <dc:creator>Crystal McNair</dc:creator>
  <cp:lastModifiedBy>CrystalM</cp:lastModifiedBy>
  <cp:revision>6</cp:revision>
  <cp:lastPrinted>2020-07-17T17:44:00Z</cp:lastPrinted>
  <dcterms:created xsi:type="dcterms:W3CDTF">2020-06-15T16:46:00Z</dcterms:created>
  <dcterms:modified xsi:type="dcterms:W3CDTF">2020-07-20T14:26:00Z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